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56" w:rsidRDefault="00937B5F" w:rsidP="00933456">
      <w:pPr>
        <w:jc w:val="center"/>
        <w:rPr>
          <w:b/>
        </w:rPr>
      </w:pPr>
      <w:bookmarkStart w:id="0" w:name="_GoBack"/>
      <w:bookmarkEnd w:id="0"/>
      <w:r>
        <w:rPr>
          <w:b/>
        </w:rPr>
        <w:t>“</w:t>
      </w:r>
      <w:r w:rsidR="008B0F76" w:rsidRPr="008B0F76">
        <w:rPr>
          <w:b/>
        </w:rPr>
        <w:t>STAY HOME MISSOURI</w:t>
      </w:r>
      <w:r>
        <w:rPr>
          <w:b/>
        </w:rPr>
        <w:t>”</w:t>
      </w:r>
      <w:r w:rsidR="008B0F76" w:rsidRPr="008B0F76">
        <w:rPr>
          <w:b/>
        </w:rPr>
        <w:t xml:space="preserve"> ORDER </w:t>
      </w:r>
    </w:p>
    <w:p w:rsidR="00933456" w:rsidRPr="008B0F76" w:rsidRDefault="00933456" w:rsidP="00933456">
      <w:pPr>
        <w:jc w:val="center"/>
        <w:rPr>
          <w:b/>
        </w:rPr>
      </w:pPr>
      <w:r>
        <w:rPr>
          <w:b/>
        </w:rPr>
        <w:t>GUIDANCE AND FREQUENTLY ASKED QUESTIONS</w:t>
      </w:r>
    </w:p>
    <w:p w:rsidR="00933456" w:rsidRDefault="00CA054C" w:rsidP="00C73A07">
      <w:pPr>
        <w:jc w:val="both"/>
      </w:pPr>
      <w:r>
        <w:t xml:space="preserve">To further combat the spread of COVID-19 in Missouri, Governor Parson directed Dr. Randall Williams, Director of Missouri Department of Health and Senior </w:t>
      </w:r>
      <w:r w:rsidR="00A35EED">
        <w:t>S</w:t>
      </w:r>
      <w:r>
        <w:t xml:space="preserve">ervices, to issue a Stay at Home Order </w:t>
      </w:r>
      <w:r w:rsidR="002246C0">
        <w:t xml:space="preserve">which is effective </w:t>
      </w:r>
      <w:r>
        <w:t xml:space="preserve">April </w:t>
      </w:r>
      <w:r w:rsidR="00C73A07">
        <w:t>6</w:t>
      </w:r>
      <w:r>
        <w:t xml:space="preserve">, 2020. </w:t>
      </w:r>
    </w:p>
    <w:p w:rsidR="00902CBA" w:rsidRDefault="00CA054C" w:rsidP="00C73A07">
      <w:pPr>
        <w:jc w:val="both"/>
      </w:pPr>
      <w:r>
        <w:t xml:space="preserve">This Order </w:t>
      </w:r>
      <w:r w:rsidRPr="00C73A07">
        <w:t xml:space="preserve">directs all Missourians to avoid leaving their </w:t>
      </w:r>
      <w:r w:rsidR="00AF0BD4" w:rsidRPr="00C73A07">
        <w:t xml:space="preserve">residences </w:t>
      </w:r>
      <w:r w:rsidR="008B0F76">
        <w:t xml:space="preserve">unless necessary </w:t>
      </w:r>
      <w:r w:rsidR="00AF0BD4" w:rsidRPr="00C73A07">
        <w:t xml:space="preserve">and </w:t>
      </w:r>
      <w:r w:rsidR="00C73A07" w:rsidRPr="00C73A07">
        <w:t xml:space="preserve">to practice social distancing when they need to travel outside their homes to work, access foods, prescriptions, health care, and other necessities, or to engage in an outdoor activity. </w:t>
      </w:r>
      <w:r w:rsidR="00D32CB0">
        <w:t xml:space="preserve"> This O</w:t>
      </w:r>
      <w:r w:rsidR="00D50B5B">
        <w:t xml:space="preserve">rder does not require all businesses statewide to close or cease operation.  </w:t>
      </w:r>
    </w:p>
    <w:p w:rsidR="00CA054C" w:rsidRPr="00E17A28" w:rsidRDefault="00933456">
      <w:pPr>
        <w:rPr>
          <w:b/>
        </w:rPr>
      </w:pPr>
      <w:r>
        <w:rPr>
          <w:b/>
        </w:rPr>
        <w:t xml:space="preserve">Here are some examples of things you can do under this order: </w:t>
      </w:r>
      <w:r w:rsidR="00CA054C" w:rsidRPr="00E17A28">
        <w:rPr>
          <w:b/>
        </w:rPr>
        <w:t xml:space="preserve"> </w:t>
      </w:r>
    </w:p>
    <w:p w:rsidR="00CA054C" w:rsidRDefault="00CA054C" w:rsidP="00AF0BD4">
      <w:pPr>
        <w:pStyle w:val="ListParagraph"/>
        <w:numPr>
          <w:ilvl w:val="0"/>
          <w:numId w:val="2"/>
        </w:numPr>
      </w:pPr>
      <w:r>
        <w:t xml:space="preserve">Go to </w:t>
      </w:r>
      <w:r w:rsidR="00AF0BD4">
        <w:t>grocery</w:t>
      </w:r>
      <w:r w:rsidR="004C3FFF">
        <w:t xml:space="preserve">, </w:t>
      </w:r>
      <w:r w:rsidR="00AF0BD4">
        <w:t>convenience</w:t>
      </w:r>
      <w:r w:rsidR="004C3FFF">
        <w:t xml:space="preserve">, or warehouse </w:t>
      </w:r>
      <w:r w:rsidR="00AF0BD4">
        <w:t>stores</w:t>
      </w:r>
    </w:p>
    <w:p w:rsidR="00AF0BD4" w:rsidRDefault="00AF0BD4" w:rsidP="00AF0BD4">
      <w:pPr>
        <w:pStyle w:val="ListParagraph"/>
        <w:numPr>
          <w:ilvl w:val="0"/>
          <w:numId w:val="2"/>
        </w:numPr>
      </w:pPr>
      <w:r>
        <w:t>Go to the pharmacy to pick up medications and other healthcare necessities</w:t>
      </w:r>
    </w:p>
    <w:p w:rsidR="00AF0BD4" w:rsidRDefault="00AF0BD4" w:rsidP="00AF0BD4">
      <w:pPr>
        <w:pStyle w:val="ListParagraph"/>
        <w:numPr>
          <w:ilvl w:val="0"/>
          <w:numId w:val="2"/>
        </w:numPr>
      </w:pPr>
      <w:r>
        <w:t xml:space="preserve">Go to medical appointments (check with your doctor or provider first) </w:t>
      </w:r>
    </w:p>
    <w:p w:rsidR="00AF0BD4" w:rsidRDefault="00AF0BD4" w:rsidP="00AF0BD4">
      <w:pPr>
        <w:pStyle w:val="ListParagraph"/>
        <w:numPr>
          <w:ilvl w:val="0"/>
          <w:numId w:val="2"/>
        </w:numPr>
      </w:pPr>
      <w:r>
        <w:t>Go to a restaurant for take-out, delivery, or drive-thru</w:t>
      </w:r>
    </w:p>
    <w:p w:rsidR="00AF0BD4" w:rsidRDefault="00AF0BD4" w:rsidP="00AF0BD4">
      <w:pPr>
        <w:pStyle w:val="ListParagraph"/>
        <w:numPr>
          <w:ilvl w:val="0"/>
          <w:numId w:val="2"/>
        </w:numPr>
      </w:pPr>
      <w:r>
        <w:t xml:space="preserve">Go to a place of worship </w:t>
      </w:r>
      <w:r w:rsidR="004C3FFF">
        <w:t>– just make sure that no more than 10 people are in any single space at one t</w:t>
      </w:r>
      <w:r w:rsidR="00FA2E4F">
        <w:t>ime</w:t>
      </w:r>
      <w:r w:rsidR="004C3FFF">
        <w:t xml:space="preserve"> and keep 6 feet </w:t>
      </w:r>
      <w:r w:rsidR="00FA2E4F">
        <w:t xml:space="preserve">of distance </w:t>
      </w:r>
      <w:r w:rsidR="004C3FFF">
        <w:t xml:space="preserve">between you and others </w:t>
      </w:r>
    </w:p>
    <w:p w:rsidR="00854807" w:rsidRDefault="00AF0BD4" w:rsidP="009852F3">
      <w:pPr>
        <w:pStyle w:val="ListParagraph"/>
        <w:numPr>
          <w:ilvl w:val="0"/>
          <w:numId w:val="2"/>
        </w:numPr>
      </w:pPr>
      <w:r>
        <w:t xml:space="preserve">Take a walk, ride your bike, hike, fish, hunt, golf and be in nature for exercise </w:t>
      </w:r>
      <w:r w:rsidR="00854807">
        <w:t xml:space="preserve">– just keep six </w:t>
      </w:r>
      <w:r w:rsidR="004D12BB">
        <w:t xml:space="preserve">feet </w:t>
      </w:r>
      <w:r w:rsidR="00FA2E4F">
        <w:t xml:space="preserve">of distance </w:t>
      </w:r>
      <w:r w:rsidR="00854807">
        <w:t>b</w:t>
      </w:r>
      <w:r w:rsidR="00E31990">
        <w:t xml:space="preserve">etween you and others </w:t>
      </w:r>
    </w:p>
    <w:p w:rsidR="00933456" w:rsidRDefault="00954EEB" w:rsidP="00933456">
      <w:pPr>
        <w:pStyle w:val="ListParagraph"/>
        <w:numPr>
          <w:ilvl w:val="0"/>
          <w:numId w:val="2"/>
        </w:numPr>
      </w:pPr>
      <w:r>
        <w:t xml:space="preserve">Receive deliveries </w:t>
      </w:r>
      <w:r w:rsidR="004C3FFF">
        <w:t xml:space="preserve">from </w:t>
      </w:r>
      <w:r>
        <w:t>any business which delivers</w:t>
      </w:r>
    </w:p>
    <w:p w:rsidR="00CA054C" w:rsidRDefault="00933456">
      <w:pPr>
        <w:rPr>
          <w:b/>
        </w:rPr>
      </w:pPr>
      <w:r>
        <w:rPr>
          <w:b/>
        </w:rPr>
        <w:t xml:space="preserve">Individuals shall </w:t>
      </w:r>
      <w:r w:rsidR="00CA054C" w:rsidRPr="00E17A28">
        <w:rPr>
          <w:b/>
        </w:rPr>
        <w:t xml:space="preserve">not </w:t>
      </w:r>
      <w:r>
        <w:rPr>
          <w:b/>
        </w:rPr>
        <w:t xml:space="preserve">do the following things: </w:t>
      </w:r>
    </w:p>
    <w:p w:rsidR="00C73A07" w:rsidRDefault="00C73A07" w:rsidP="00854807">
      <w:pPr>
        <w:pStyle w:val="ListParagraph"/>
        <w:numPr>
          <w:ilvl w:val="0"/>
          <w:numId w:val="3"/>
        </w:numPr>
      </w:pPr>
      <w:r>
        <w:t xml:space="preserve">Visit state office buildings that are closed to the public </w:t>
      </w:r>
    </w:p>
    <w:p w:rsidR="00854807" w:rsidRPr="00954EEB" w:rsidRDefault="00854807" w:rsidP="00854807">
      <w:pPr>
        <w:pStyle w:val="ListParagraph"/>
        <w:numPr>
          <w:ilvl w:val="0"/>
          <w:numId w:val="3"/>
        </w:numPr>
      </w:pPr>
      <w:r>
        <w:t xml:space="preserve">Stand </w:t>
      </w:r>
      <w:r w:rsidR="00D50B5B">
        <w:t xml:space="preserve">closer </w:t>
      </w:r>
      <w:r>
        <w:t>than 6 feet of dist</w:t>
      </w:r>
      <w:r w:rsidR="00D50B5B">
        <w:t xml:space="preserve">ance from others </w:t>
      </w:r>
    </w:p>
    <w:p w:rsidR="00954EEB" w:rsidRDefault="00954EEB" w:rsidP="00954EEB">
      <w:pPr>
        <w:pStyle w:val="ListParagraph"/>
        <w:numPr>
          <w:ilvl w:val="0"/>
          <w:numId w:val="3"/>
        </w:numPr>
      </w:pPr>
      <w:r w:rsidRPr="00954EEB">
        <w:t xml:space="preserve">Visit loved ones in nursing homes, long term care facilities, and assisted living homes, unless you are providing critical assistance  </w:t>
      </w:r>
    </w:p>
    <w:p w:rsidR="00D50B5B" w:rsidRPr="00D50B5B" w:rsidRDefault="00D50B5B" w:rsidP="00D50B5B">
      <w:pPr>
        <w:rPr>
          <w:b/>
        </w:rPr>
      </w:pPr>
      <w:r w:rsidRPr="00D50B5B">
        <w:rPr>
          <w:b/>
        </w:rPr>
        <w:t xml:space="preserve">Do work places that do not qualify as “essential” businesses have to close? </w:t>
      </w:r>
    </w:p>
    <w:p w:rsidR="00D50B5B" w:rsidRDefault="00D50B5B" w:rsidP="00D50B5B">
      <w:pPr>
        <w:jc w:val="both"/>
      </w:pPr>
      <w:r w:rsidRPr="00214D4D">
        <w:t>No.  Businesses</w:t>
      </w:r>
      <w:r>
        <w:t xml:space="preserve"> that are not covered by the guidance from </w:t>
      </w:r>
      <w:r w:rsidR="00A35EED" w:rsidRPr="00D50B5B">
        <w:rPr>
          <w:rFonts w:cstheme="minorHAnsi"/>
        </w:rPr>
        <w:t>the U.S. Department of Homeland Security, Cybersecurity &amp; Infrastructure Security Agency (CISA)</w:t>
      </w:r>
      <w:r w:rsidR="00A35EED">
        <w:rPr>
          <w:rFonts w:cstheme="minorHAnsi"/>
        </w:rPr>
        <w:t xml:space="preserve"> </w:t>
      </w:r>
      <w:r>
        <w:t xml:space="preserve">discussed in </w:t>
      </w:r>
      <w:r w:rsidR="00A35EED">
        <w:t xml:space="preserve">the Order </w:t>
      </w:r>
      <w:r>
        <w:t xml:space="preserve">may remain open but must </w:t>
      </w:r>
      <w:r w:rsidR="002C328A">
        <w:t xml:space="preserve">comply with the social gathering and social distance requirements of the Order.  This means that no more than 10 individuals can occupy a single space, this includes both employees and customers.  Individuals must also </w:t>
      </w:r>
      <w:r w:rsidR="002C328A" w:rsidRPr="00A37773">
        <w:rPr>
          <w:bCs/>
        </w:rPr>
        <w:t xml:space="preserve">maintain at least </w:t>
      </w:r>
      <w:r w:rsidR="002C328A">
        <w:rPr>
          <w:bCs/>
        </w:rPr>
        <w:t>6</w:t>
      </w:r>
      <w:r w:rsidR="002C328A" w:rsidRPr="00A37773">
        <w:rPr>
          <w:bCs/>
        </w:rPr>
        <w:t xml:space="preserve"> feet</w:t>
      </w:r>
      <w:r w:rsidR="002C328A">
        <w:rPr>
          <w:bCs/>
        </w:rPr>
        <w:t xml:space="preserve"> of distance between themselves and others. Employees must also practice good hygiene and sanitation to limit the spread of COVID-19. </w:t>
      </w:r>
      <w:r>
        <w:t xml:space="preserve">Businesses are also encouraged to allow individuals, where feasible, to work from home to achieve optimum isolation. </w:t>
      </w:r>
    </w:p>
    <w:p w:rsidR="00D50B5B" w:rsidRDefault="00D50B5B" w:rsidP="00D50B5B">
      <w:pPr>
        <w:jc w:val="both"/>
      </w:pPr>
      <w:r>
        <w:t>Businesses can seek a waiver of the social gathering requirements from the Director</w:t>
      </w:r>
      <w:r w:rsidR="00A35EED">
        <w:t xml:space="preserve"> of the Department of Economic D</w:t>
      </w:r>
      <w:r>
        <w:t xml:space="preserve">evelopment.  </w:t>
      </w:r>
    </w:p>
    <w:p w:rsidR="00933456" w:rsidRDefault="00933456" w:rsidP="00D50B5B">
      <w:pPr>
        <w:jc w:val="both"/>
      </w:pPr>
    </w:p>
    <w:p w:rsidR="00933456" w:rsidRDefault="00933456" w:rsidP="00D50B5B">
      <w:pPr>
        <w:jc w:val="both"/>
      </w:pPr>
    </w:p>
    <w:p w:rsidR="00933456" w:rsidRDefault="00933456" w:rsidP="00D50B5B">
      <w:pPr>
        <w:jc w:val="both"/>
      </w:pPr>
    </w:p>
    <w:p w:rsidR="00C73A07" w:rsidRDefault="00C73A07" w:rsidP="00C73A07">
      <w:pPr>
        <w:rPr>
          <w:b/>
        </w:rPr>
      </w:pPr>
      <w:r>
        <w:rPr>
          <w:b/>
        </w:rPr>
        <w:lastRenderedPageBreak/>
        <w:t xml:space="preserve">What businesses are “essential” under this Order? </w:t>
      </w:r>
    </w:p>
    <w:p w:rsidR="00C73A07" w:rsidRDefault="00C73A07" w:rsidP="00D50B5B">
      <w:pPr>
        <w:jc w:val="both"/>
        <w:rPr>
          <w:rFonts w:cstheme="minorHAnsi"/>
        </w:rPr>
      </w:pPr>
      <w:r w:rsidRPr="00C73A07">
        <w:rPr>
          <w:rFonts w:cstheme="minorHAnsi"/>
        </w:rPr>
        <w:t xml:space="preserve">The </w:t>
      </w:r>
      <w:r>
        <w:rPr>
          <w:rFonts w:cstheme="minorHAnsi"/>
        </w:rPr>
        <w:t>O</w:t>
      </w:r>
      <w:r w:rsidRPr="00C73A07">
        <w:rPr>
          <w:rFonts w:cstheme="minorHAnsi"/>
        </w:rPr>
        <w:t xml:space="preserve">rder refers businesses to </w:t>
      </w:r>
      <w:r w:rsidRPr="00D50B5B">
        <w:rPr>
          <w:rFonts w:cstheme="minorHAnsi"/>
        </w:rPr>
        <w:t xml:space="preserve">guidance by </w:t>
      </w:r>
      <w:r w:rsidR="00A35EED">
        <w:rPr>
          <w:rFonts w:cstheme="minorHAnsi"/>
        </w:rPr>
        <w:t>CISA</w:t>
      </w:r>
      <w:r w:rsidR="00DF6F35">
        <w:rPr>
          <w:rFonts w:cstheme="minorHAnsi"/>
        </w:rPr>
        <w:t xml:space="preserve"> </w:t>
      </w:r>
      <w:r w:rsidRPr="00C73A07">
        <w:rPr>
          <w:rFonts w:cstheme="minorHAnsi"/>
        </w:rPr>
        <w:t xml:space="preserve">to assist </w:t>
      </w:r>
      <w:r w:rsidR="002C328A">
        <w:rPr>
          <w:rFonts w:cstheme="minorHAnsi"/>
        </w:rPr>
        <w:t xml:space="preserve">them </w:t>
      </w:r>
      <w:r w:rsidRPr="00C73A07">
        <w:rPr>
          <w:rFonts w:cstheme="minorHAnsi"/>
        </w:rPr>
        <w:t>in determining whether the work their employees do is considered “essential” during the COVID-19 response period.</w:t>
      </w:r>
      <w:r>
        <w:rPr>
          <w:rFonts w:cstheme="minorHAnsi"/>
        </w:rPr>
        <w:t xml:space="preserve"> </w:t>
      </w:r>
      <w:r w:rsidR="005D11B8">
        <w:rPr>
          <w:rFonts w:cstheme="minorHAnsi"/>
        </w:rPr>
        <w:t xml:space="preserve"> </w:t>
      </w:r>
      <w:r w:rsidR="00DF6F35">
        <w:rPr>
          <w:rFonts w:cstheme="minorHAnsi"/>
        </w:rPr>
        <w:t>Some examples include</w:t>
      </w:r>
      <w:r w:rsidR="005D11B8">
        <w:rPr>
          <w:rFonts w:cstheme="minorHAnsi"/>
        </w:rPr>
        <w:t>, but are not limited to</w:t>
      </w:r>
      <w:r w:rsidR="00DF6F35">
        <w:rPr>
          <w:rFonts w:cstheme="minorHAnsi"/>
        </w:rPr>
        <w:t>:</w:t>
      </w:r>
    </w:p>
    <w:p w:rsidR="00DF6F35" w:rsidRDefault="00DF6F35" w:rsidP="00D50B5B">
      <w:pPr>
        <w:numPr>
          <w:ilvl w:val="0"/>
          <w:numId w:val="8"/>
        </w:numPr>
        <w:shd w:val="clear" w:color="auto" w:fill="FFFFFF"/>
        <w:spacing w:after="0" w:line="240" w:lineRule="auto"/>
        <w:ind w:left="720"/>
        <w:jc w:val="both"/>
        <w:rPr>
          <w:rFonts w:eastAsia="Times New Roman" w:cstheme="minorHAnsi"/>
          <w:color w:val="000000" w:themeColor="text1"/>
        </w:rPr>
      </w:pPr>
      <w:r w:rsidRPr="00DF6F35">
        <w:rPr>
          <w:rFonts w:eastAsia="Times New Roman" w:cstheme="minorHAnsi"/>
          <w:color w:val="000000" w:themeColor="text1"/>
        </w:rPr>
        <w:t>Healthcare workers and caregivers</w:t>
      </w:r>
    </w:p>
    <w:p w:rsidR="00BD4621" w:rsidRDefault="00BD4621" w:rsidP="00D50B5B">
      <w:pPr>
        <w:numPr>
          <w:ilvl w:val="0"/>
          <w:numId w:val="8"/>
        </w:numPr>
        <w:shd w:val="clear" w:color="auto" w:fill="FFFFFF"/>
        <w:spacing w:after="0" w:line="240" w:lineRule="auto"/>
        <w:ind w:left="720"/>
        <w:jc w:val="both"/>
        <w:rPr>
          <w:rFonts w:eastAsia="Times New Roman" w:cstheme="minorHAnsi"/>
          <w:color w:val="000000" w:themeColor="text1"/>
        </w:rPr>
      </w:pPr>
      <w:r>
        <w:rPr>
          <w:rFonts w:eastAsia="Times New Roman" w:cstheme="minorHAnsi"/>
          <w:color w:val="000000" w:themeColor="text1"/>
        </w:rPr>
        <w:t>Law enforcement, fire fighters, and first responders</w:t>
      </w:r>
    </w:p>
    <w:p w:rsidR="00BD4621" w:rsidRPr="00DF6F35" w:rsidRDefault="00BD4621" w:rsidP="00D50B5B">
      <w:pPr>
        <w:numPr>
          <w:ilvl w:val="0"/>
          <w:numId w:val="8"/>
        </w:numPr>
        <w:shd w:val="clear" w:color="auto" w:fill="FFFFFF"/>
        <w:spacing w:after="0" w:line="240" w:lineRule="auto"/>
        <w:ind w:left="720"/>
        <w:jc w:val="both"/>
        <w:rPr>
          <w:rFonts w:eastAsia="Times New Roman" w:cstheme="minorHAnsi"/>
          <w:color w:val="000000" w:themeColor="text1"/>
        </w:rPr>
      </w:pPr>
      <w:r>
        <w:rPr>
          <w:rFonts w:eastAsia="Times New Roman" w:cstheme="minorHAnsi"/>
          <w:color w:val="000000" w:themeColor="text1"/>
        </w:rPr>
        <w:t>Government operations</w:t>
      </w:r>
    </w:p>
    <w:p w:rsidR="00DF6F35" w:rsidRPr="00DF6F35" w:rsidRDefault="00DF6F35" w:rsidP="00D50B5B">
      <w:pPr>
        <w:numPr>
          <w:ilvl w:val="0"/>
          <w:numId w:val="8"/>
        </w:numPr>
        <w:shd w:val="clear" w:color="auto" w:fill="FFFFFF"/>
        <w:spacing w:after="0" w:line="240" w:lineRule="auto"/>
        <w:ind w:left="720"/>
        <w:jc w:val="both"/>
        <w:rPr>
          <w:rFonts w:eastAsia="Times New Roman" w:cstheme="minorHAnsi"/>
          <w:color w:val="000000" w:themeColor="text1"/>
        </w:rPr>
      </w:pPr>
      <w:r w:rsidRPr="00DF6F35">
        <w:rPr>
          <w:rFonts w:eastAsia="Times New Roman" w:cstheme="minorHAnsi"/>
          <w:color w:val="000000" w:themeColor="text1"/>
        </w:rPr>
        <w:t>Mental health and Social Service workers</w:t>
      </w:r>
    </w:p>
    <w:p w:rsidR="00DF6F35" w:rsidRPr="00DF6F35" w:rsidRDefault="00DF6F35" w:rsidP="00D50B5B">
      <w:pPr>
        <w:numPr>
          <w:ilvl w:val="0"/>
          <w:numId w:val="8"/>
        </w:numPr>
        <w:shd w:val="clear" w:color="auto" w:fill="FFFFFF"/>
        <w:spacing w:after="0" w:line="240" w:lineRule="auto"/>
        <w:ind w:left="720"/>
        <w:jc w:val="both"/>
        <w:rPr>
          <w:rFonts w:eastAsia="Times New Roman" w:cstheme="minorHAnsi"/>
          <w:color w:val="000000" w:themeColor="text1"/>
        </w:rPr>
      </w:pPr>
      <w:r w:rsidRPr="00DF6F35">
        <w:rPr>
          <w:rFonts w:eastAsia="Times New Roman" w:cstheme="minorHAnsi"/>
          <w:color w:val="000000" w:themeColor="text1"/>
        </w:rPr>
        <w:t>Pharmacy employees</w:t>
      </w:r>
    </w:p>
    <w:p w:rsidR="00DF6F35" w:rsidRPr="00DF6F35" w:rsidRDefault="00DF6F35" w:rsidP="00D50B5B">
      <w:pPr>
        <w:numPr>
          <w:ilvl w:val="0"/>
          <w:numId w:val="8"/>
        </w:numPr>
        <w:shd w:val="clear" w:color="auto" w:fill="FFFFFF"/>
        <w:spacing w:after="0" w:line="240" w:lineRule="auto"/>
        <w:ind w:left="720"/>
        <w:jc w:val="both"/>
        <w:rPr>
          <w:rFonts w:eastAsia="Times New Roman" w:cstheme="minorHAnsi"/>
          <w:color w:val="000000" w:themeColor="text1"/>
        </w:rPr>
      </w:pPr>
      <w:r w:rsidRPr="00DF6F35">
        <w:rPr>
          <w:rFonts w:eastAsia="Times New Roman" w:cstheme="minorHAnsi"/>
          <w:color w:val="000000" w:themeColor="text1"/>
        </w:rPr>
        <w:t>Workers supporting groceries, pharmacies and other retail sales of food and beverage products</w:t>
      </w:r>
    </w:p>
    <w:p w:rsidR="00DF6F35" w:rsidRPr="00DF6F35" w:rsidRDefault="00DF6F35" w:rsidP="00D50B5B">
      <w:pPr>
        <w:numPr>
          <w:ilvl w:val="0"/>
          <w:numId w:val="8"/>
        </w:numPr>
        <w:shd w:val="clear" w:color="auto" w:fill="FFFFFF"/>
        <w:spacing w:after="0" w:line="240" w:lineRule="auto"/>
        <w:ind w:left="720"/>
        <w:jc w:val="both"/>
        <w:rPr>
          <w:rFonts w:eastAsia="Times New Roman" w:cstheme="minorHAnsi"/>
          <w:color w:val="000000" w:themeColor="text1"/>
        </w:rPr>
      </w:pPr>
      <w:r w:rsidRPr="00DF6F35">
        <w:rPr>
          <w:rFonts w:eastAsia="Times New Roman" w:cstheme="minorHAnsi"/>
          <w:color w:val="000000" w:themeColor="text1"/>
        </w:rPr>
        <w:t>Restaurant carryout and quick-serve food operations and food delivery employees</w:t>
      </w:r>
    </w:p>
    <w:p w:rsidR="00DF6F35" w:rsidRPr="00DF6F35" w:rsidRDefault="00DF6F35" w:rsidP="00D50B5B">
      <w:pPr>
        <w:numPr>
          <w:ilvl w:val="0"/>
          <w:numId w:val="8"/>
        </w:numPr>
        <w:shd w:val="clear" w:color="auto" w:fill="FFFFFF"/>
        <w:spacing w:after="0" w:line="240" w:lineRule="auto"/>
        <w:ind w:left="720"/>
        <w:jc w:val="both"/>
        <w:rPr>
          <w:rFonts w:eastAsia="Times New Roman" w:cstheme="minorHAnsi"/>
          <w:color w:val="000000" w:themeColor="text1"/>
        </w:rPr>
      </w:pPr>
      <w:r w:rsidRPr="00DF6F35">
        <w:rPr>
          <w:rFonts w:eastAsia="Times New Roman" w:cstheme="minorHAnsi"/>
          <w:color w:val="000000" w:themeColor="text1"/>
        </w:rPr>
        <w:t>Farmworkers</w:t>
      </w:r>
    </w:p>
    <w:p w:rsidR="00DF6F35" w:rsidRPr="00DF6F35" w:rsidRDefault="00DF6F35" w:rsidP="00D50B5B">
      <w:pPr>
        <w:numPr>
          <w:ilvl w:val="0"/>
          <w:numId w:val="8"/>
        </w:numPr>
        <w:shd w:val="clear" w:color="auto" w:fill="FFFFFF"/>
        <w:spacing w:after="0" w:line="240" w:lineRule="auto"/>
        <w:ind w:left="720"/>
        <w:jc w:val="both"/>
        <w:rPr>
          <w:rFonts w:eastAsia="Times New Roman" w:cstheme="minorHAnsi"/>
          <w:color w:val="000000" w:themeColor="text1"/>
        </w:rPr>
      </w:pPr>
      <w:r w:rsidRPr="00DF6F35">
        <w:rPr>
          <w:rFonts w:eastAsia="Times New Roman" w:cstheme="minorHAnsi"/>
          <w:color w:val="000000" w:themeColor="text1"/>
        </w:rPr>
        <w:t>Electricity and Utility Industry Employees</w:t>
      </w:r>
    </w:p>
    <w:p w:rsidR="00DF6F35" w:rsidRPr="00DF6F35" w:rsidRDefault="00DF6F35" w:rsidP="00D50B5B">
      <w:pPr>
        <w:numPr>
          <w:ilvl w:val="0"/>
          <w:numId w:val="8"/>
        </w:numPr>
        <w:shd w:val="clear" w:color="auto" w:fill="FFFFFF"/>
        <w:spacing w:after="0" w:line="240" w:lineRule="auto"/>
        <w:ind w:left="720"/>
        <w:jc w:val="both"/>
        <w:rPr>
          <w:rFonts w:eastAsia="Times New Roman" w:cstheme="minorHAnsi"/>
          <w:color w:val="000000" w:themeColor="text1"/>
        </w:rPr>
      </w:pPr>
      <w:r w:rsidRPr="00DF6F35">
        <w:rPr>
          <w:rFonts w:eastAsia="Times New Roman" w:cstheme="minorHAnsi"/>
          <w:color w:val="000000" w:themeColor="text1"/>
        </w:rPr>
        <w:t>Critical Manufacturing Employees (medical supply chains, energy, transportation, food, chemicals)</w:t>
      </w:r>
    </w:p>
    <w:p w:rsidR="00DF6F35" w:rsidRPr="00DF6F35" w:rsidRDefault="00DF6F35" w:rsidP="00D50B5B">
      <w:pPr>
        <w:numPr>
          <w:ilvl w:val="0"/>
          <w:numId w:val="8"/>
        </w:numPr>
        <w:shd w:val="clear" w:color="auto" w:fill="FFFFFF"/>
        <w:spacing w:after="0" w:line="240" w:lineRule="auto"/>
        <w:ind w:left="720"/>
        <w:jc w:val="both"/>
        <w:rPr>
          <w:rFonts w:eastAsia="Times New Roman" w:cstheme="minorHAnsi"/>
          <w:color w:val="000000" w:themeColor="text1"/>
        </w:rPr>
      </w:pPr>
      <w:r w:rsidRPr="00DF6F35">
        <w:rPr>
          <w:rFonts w:eastAsia="Times New Roman" w:cstheme="minorHAnsi"/>
          <w:color w:val="000000" w:themeColor="text1"/>
        </w:rPr>
        <w:t>Petroleum, Natural and Propane Gas Workers</w:t>
      </w:r>
    </w:p>
    <w:p w:rsidR="00DF6F35" w:rsidRPr="00DF6F35" w:rsidRDefault="00DF6F35" w:rsidP="00D50B5B">
      <w:pPr>
        <w:numPr>
          <w:ilvl w:val="0"/>
          <w:numId w:val="8"/>
        </w:numPr>
        <w:shd w:val="clear" w:color="auto" w:fill="FFFFFF"/>
        <w:spacing w:after="0" w:line="240" w:lineRule="auto"/>
        <w:ind w:left="720"/>
        <w:jc w:val="both"/>
        <w:rPr>
          <w:rFonts w:eastAsia="Times New Roman" w:cstheme="minorHAnsi"/>
          <w:color w:val="000000" w:themeColor="text1"/>
        </w:rPr>
      </w:pPr>
      <w:r w:rsidRPr="00DF6F35">
        <w:rPr>
          <w:rFonts w:eastAsia="Times New Roman" w:cstheme="minorHAnsi"/>
          <w:color w:val="000000" w:themeColor="text1"/>
        </w:rPr>
        <w:t>Transportation and Logistics Workers</w:t>
      </w:r>
    </w:p>
    <w:p w:rsidR="00DF6F35" w:rsidRDefault="00DF6F35" w:rsidP="00D50B5B">
      <w:pPr>
        <w:numPr>
          <w:ilvl w:val="0"/>
          <w:numId w:val="8"/>
        </w:numPr>
        <w:shd w:val="clear" w:color="auto" w:fill="FFFFFF"/>
        <w:spacing w:after="0" w:line="240" w:lineRule="auto"/>
        <w:ind w:left="720"/>
        <w:jc w:val="both"/>
        <w:rPr>
          <w:rFonts w:eastAsia="Times New Roman" w:cstheme="minorHAnsi"/>
          <w:color w:val="000000" w:themeColor="text1"/>
        </w:rPr>
      </w:pPr>
      <w:r w:rsidRPr="00DF6F35">
        <w:rPr>
          <w:rFonts w:eastAsia="Times New Roman" w:cstheme="minorHAnsi"/>
          <w:color w:val="000000" w:themeColor="text1"/>
        </w:rPr>
        <w:t>Communications and Information Technology Employees</w:t>
      </w:r>
    </w:p>
    <w:p w:rsidR="00DF6F35" w:rsidRDefault="00DF6F35" w:rsidP="00D50B5B">
      <w:pPr>
        <w:shd w:val="clear" w:color="auto" w:fill="FFFFFF"/>
        <w:spacing w:after="0" w:line="240" w:lineRule="auto"/>
        <w:ind w:left="720"/>
        <w:jc w:val="both"/>
        <w:rPr>
          <w:rFonts w:eastAsia="Times New Roman" w:cstheme="minorHAnsi"/>
          <w:color w:val="000000" w:themeColor="text1"/>
        </w:rPr>
      </w:pPr>
    </w:p>
    <w:p w:rsidR="00D50B5B" w:rsidRPr="00D50B5B" w:rsidRDefault="00D50B5B" w:rsidP="00D50B5B">
      <w:pPr>
        <w:widowControl w:val="0"/>
        <w:autoSpaceDE w:val="0"/>
        <w:autoSpaceDN w:val="0"/>
        <w:spacing w:after="0" w:line="240" w:lineRule="auto"/>
        <w:jc w:val="both"/>
        <w:rPr>
          <w:rFonts w:cstheme="minorHAnsi"/>
        </w:rPr>
      </w:pPr>
      <w:r w:rsidRPr="00D50B5B">
        <w:rPr>
          <w:rFonts w:cstheme="minorHAnsi"/>
        </w:rPr>
        <w:t xml:space="preserve">Workplaces that qualify as essential under the guidance may remain open. </w:t>
      </w:r>
      <w:r>
        <w:rPr>
          <w:rFonts w:cstheme="minorHAnsi"/>
        </w:rPr>
        <w:t xml:space="preserve">Workers onsite should take all necessary precautions to reduce the transmission of COVID-19, including practicing social distancing except when performance of job duties require otherwise.  </w:t>
      </w:r>
    </w:p>
    <w:p w:rsidR="00D50B5B" w:rsidRDefault="00D50B5B" w:rsidP="00DF6F35">
      <w:pPr>
        <w:widowControl w:val="0"/>
        <w:autoSpaceDE w:val="0"/>
        <w:autoSpaceDN w:val="0"/>
        <w:spacing w:after="0" w:line="240" w:lineRule="auto"/>
        <w:ind w:right="720"/>
        <w:rPr>
          <w:rFonts w:cstheme="minorHAnsi"/>
          <w:highlight w:val="yellow"/>
        </w:rPr>
      </w:pPr>
    </w:p>
    <w:p w:rsidR="00DF6F35" w:rsidRPr="00DF6F35" w:rsidRDefault="00DF6F35" w:rsidP="00C73A07">
      <w:pPr>
        <w:rPr>
          <w:rFonts w:cstheme="minorHAnsi"/>
          <w:b/>
        </w:rPr>
      </w:pPr>
      <w:r w:rsidRPr="00DF6F35">
        <w:rPr>
          <w:rFonts w:cstheme="minorHAnsi"/>
          <w:b/>
        </w:rPr>
        <w:t>Are there restrictions on essential businesses?</w:t>
      </w:r>
    </w:p>
    <w:p w:rsidR="00DF6F35" w:rsidRDefault="00D50B5B" w:rsidP="004C3FFF">
      <w:pPr>
        <w:widowControl w:val="0"/>
        <w:autoSpaceDE w:val="0"/>
        <w:autoSpaceDN w:val="0"/>
        <w:spacing w:after="0" w:line="240" w:lineRule="auto"/>
        <w:jc w:val="both"/>
        <w:rPr>
          <w:rFonts w:cstheme="minorHAnsi"/>
        </w:rPr>
      </w:pPr>
      <w:r>
        <w:rPr>
          <w:rFonts w:cstheme="minorHAnsi"/>
        </w:rPr>
        <w:t xml:space="preserve">Yes. </w:t>
      </w:r>
      <w:r w:rsidR="005D11B8">
        <w:rPr>
          <w:rFonts w:cstheme="minorHAnsi"/>
        </w:rPr>
        <w:t xml:space="preserve"> </w:t>
      </w:r>
      <w:r w:rsidR="00DF6F35" w:rsidRPr="00DF6F35">
        <w:rPr>
          <w:rFonts w:cstheme="minorHAnsi"/>
        </w:rPr>
        <w:t xml:space="preserve">Workplaces that qualify as essential </w:t>
      </w:r>
      <w:r w:rsidR="00A1130A">
        <w:rPr>
          <w:rFonts w:cstheme="minorHAnsi"/>
        </w:rPr>
        <w:t xml:space="preserve">under CISA guidelines </w:t>
      </w:r>
      <w:r w:rsidR="00DF6F35" w:rsidRPr="00DF6F35">
        <w:rPr>
          <w:rFonts w:cstheme="minorHAnsi"/>
        </w:rPr>
        <w:t xml:space="preserve">and are engaged in retail sales to the public must limit the number of </w:t>
      </w:r>
      <w:r w:rsidR="00A1130A">
        <w:rPr>
          <w:rFonts w:cstheme="minorHAnsi"/>
        </w:rPr>
        <w:t>customers</w:t>
      </w:r>
      <w:r w:rsidR="00DF6F35" w:rsidRPr="00DF6F35">
        <w:rPr>
          <w:rFonts w:cstheme="minorHAnsi"/>
        </w:rPr>
        <w:t xml:space="preserve"> in each retail location to the following standards based on the workplace’s fire or building code occupancy:</w:t>
      </w:r>
    </w:p>
    <w:p w:rsidR="00D50B5B" w:rsidRPr="00DF6F35" w:rsidRDefault="00D50B5B" w:rsidP="004C3FFF">
      <w:pPr>
        <w:widowControl w:val="0"/>
        <w:autoSpaceDE w:val="0"/>
        <w:autoSpaceDN w:val="0"/>
        <w:spacing w:after="0" w:line="240" w:lineRule="auto"/>
        <w:ind w:left="720" w:hanging="360"/>
        <w:jc w:val="both"/>
        <w:rPr>
          <w:rFonts w:cstheme="minorHAnsi"/>
        </w:rPr>
      </w:pPr>
    </w:p>
    <w:p w:rsidR="00DF6F35" w:rsidRDefault="00DF6F35" w:rsidP="004C3FFF">
      <w:pPr>
        <w:pStyle w:val="ListParagraph"/>
        <w:widowControl w:val="0"/>
        <w:numPr>
          <w:ilvl w:val="0"/>
          <w:numId w:val="7"/>
        </w:numPr>
        <w:autoSpaceDE w:val="0"/>
        <w:autoSpaceDN w:val="0"/>
        <w:spacing w:after="0" w:line="240" w:lineRule="auto"/>
        <w:ind w:left="720"/>
        <w:contextualSpacing w:val="0"/>
        <w:jc w:val="both"/>
        <w:rPr>
          <w:rFonts w:cstheme="minorHAnsi"/>
        </w:rPr>
      </w:pPr>
      <w:r w:rsidRPr="00EB6A55">
        <w:rPr>
          <w:rFonts w:cstheme="minorHAnsi"/>
        </w:rPr>
        <w:t>For smaller locations (less than 10,000 square feet),</w:t>
      </w:r>
      <w:r>
        <w:rPr>
          <w:rFonts w:cstheme="minorHAnsi"/>
        </w:rPr>
        <w:t xml:space="preserve"> they must maintain</w:t>
      </w:r>
      <w:r w:rsidRPr="00EB6A55">
        <w:rPr>
          <w:rFonts w:cstheme="minorHAnsi"/>
        </w:rPr>
        <w:t xml:space="preserve"> 25 percent or less of the authorized occupancy;</w:t>
      </w:r>
    </w:p>
    <w:p w:rsidR="00DF6F35" w:rsidRDefault="00DF6F35" w:rsidP="004C3FFF">
      <w:pPr>
        <w:pStyle w:val="ListParagraph"/>
        <w:widowControl w:val="0"/>
        <w:numPr>
          <w:ilvl w:val="0"/>
          <w:numId w:val="7"/>
        </w:numPr>
        <w:autoSpaceDE w:val="0"/>
        <w:autoSpaceDN w:val="0"/>
        <w:spacing w:after="0" w:line="240" w:lineRule="auto"/>
        <w:ind w:left="720"/>
        <w:contextualSpacing w:val="0"/>
        <w:jc w:val="both"/>
        <w:rPr>
          <w:rFonts w:cstheme="minorHAnsi"/>
        </w:rPr>
      </w:pPr>
      <w:r w:rsidRPr="00EB6A55">
        <w:rPr>
          <w:rFonts w:cstheme="minorHAnsi"/>
        </w:rPr>
        <w:t xml:space="preserve">For larger locations (10,000 square feet or greater), </w:t>
      </w:r>
      <w:r>
        <w:rPr>
          <w:rFonts w:cstheme="minorHAnsi"/>
        </w:rPr>
        <w:t xml:space="preserve">they must maintain </w:t>
      </w:r>
      <w:r w:rsidRPr="00EB6A55">
        <w:rPr>
          <w:rFonts w:cstheme="minorHAnsi"/>
        </w:rPr>
        <w:t>10 percent or less of the authorized occupancy.</w:t>
      </w:r>
    </w:p>
    <w:p w:rsidR="00A1130A" w:rsidRDefault="00A1130A" w:rsidP="00A1130A">
      <w:pPr>
        <w:pStyle w:val="ListParagraph"/>
        <w:widowControl w:val="0"/>
        <w:autoSpaceDE w:val="0"/>
        <w:autoSpaceDN w:val="0"/>
        <w:spacing w:after="0" w:line="240" w:lineRule="auto"/>
        <w:contextualSpacing w:val="0"/>
        <w:jc w:val="both"/>
        <w:rPr>
          <w:rFonts w:cstheme="minorHAnsi"/>
        </w:rPr>
      </w:pPr>
    </w:p>
    <w:p w:rsidR="00A1130A" w:rsidRDefault="00A1130A" w:rsidP="00A1130A">
      <w:pPr>
        <w:widowControl w:val="0"/>
        <w:autoSpaceDE w:val="0"/>
        <w:autoSpaceDN w:val="0"/>
        <w:spacing w:after="0" w:line="240" w:lineRule="auto"/>
        <w:jc w:val="both"/>
        <w:rPr>
          <w:rFonts w:cstheme="minorHAnsi"/>
        </w:rPr>
      </w:pPr>
      <w:r>
        <w:rPr>
          <w:rFonts w:cstheme="minorHAnsi"/>
        </w:rPr>
        <w:t>Employees at the workplace</w:t>
      </w:r>
      <w:r w:rsidR="00D8670A">
        <w:rPr>
          <w:rFonts w:cstheme="minorHAnsi"/>
        </w:rPr>
        <w:t xml:space="preserve"> and vendors delivering products into the store</w:t>
      </w:r>
      <w:r>
        <w:rPr>
          <w:rFonts w:cstheme="minorHAnsi"/>
        </w:rPr>
        <w:t xml:space="preserve"> are not included in t</w:t>
      </w:r>
      <w:r w:rsidR="00D8670A">
        <w:rPr>
          <w:rFonts w:cstheme="minorHAnsi"/>
        </w:rPr>
        <w:t xml:space="preserve">his calculation and do not count toward occupancy limitations. </w:t>
      </w:r>
    </w:p>
    <w:p w:rsidR="00D8670A" w:rsidRDefault="00D8670A" w:rsidP="00A1130A">
      <w:pPr>
        <w:widowControl w:val="0"/>
        <w:autoSpaceDE w:val="0"/>
        <w:autoSpaceDN w:val="0"/>
        <w:spacing w:after="0" w:line="240" w:lineRule="auto"/>
        <w:jc w:val="both"/>
        <w:rPr>
          <w:rFonts w:cstheme="minorHAnsi"/>
        </w:rPr>
      </w:pPr>
    </w:p>
    <w:p w:rsidR="00D8670A" w:rsidRPr="00D062E2" w:rsidRDefault="008A62DE" w:rsidP="00A1130A">
      <w:pPr>
        <w:widowControl w:val="0"/>
        <w:autoSpaceDE w:val="0"/>
        <w:autoSpaceDN w:val="0"/>
        <w:spacing w:after="0" w:line="240" w:lineRule="auto"/>
        <w:jc w:val="both"/>
        <w:rPr>
          <w:rFonts w:cstheme="minorHAnsi"/>
          <w:b/>
          <w:color w:val="000000" w:themeColor="text1"/>
        </w:rPr>
      </w:pPr>
      <w:r w:rsidRPr="00D062E2">
        <w:rPr>
          <w:rFonts w:cstheme="minorHAnsi"/>
          <w:b/>
          <w:color w:val="000000" w:themeColor="text1"/>
        </w:rPr>
        <w:t xml:space="preserve">Are </w:t>
      </w:r>
      <w:r w:rsidR="00D8670A" w:rsidRPr="00D062E2">
        <w:rPr>
          <w:rFonts w:cstheme="minorHAnsi"/>
          <w:b/>
          <w:color w:val="000000" w:themeColor="text1"/>
        </w:rPr>
        <w:t>grocery store</w:t>
      </w:r>
      <w:r w:rsidRPr="00D062E2">
        <w:rPr>
          <w:rFonts w:cstheme="minorHAnsi"/>
          <w:b/>
          <w:color w:val="000000" w:themeColor="text1"/>
        </w:rPr>
        <w:t>s</w:t>
      </w:r>
      <w:r w:rsidR="00D8670A" w:rsidRPr="00D062E2">
        <w:rPr>
          <w:rFonts w:cstheme="minorHAnsi"/>
          <w:b/>
          <w:color w:val="000000" w:themeColor="text1"/>
        </w:rPr>
        <w:t xml:space="preserve"> considered a business “engaged in retail sales to the public”? </w:t>
      </w:r>
    </w:p>
    <w:p w:rsidR="00D8670A" w:rsidRPr="00D062E2" w:rsidRDefault="00D8670A" w:rsidP="00A1130A">
      <w:pPr>
        <w:widowControl w:val="0"/>
        <w:autoSpaceDE w:val="0"/>
        <w:autoSpaceDN w:val="0"/>
        <w:spacing w:after="0" w:line="240" w:lineRule="auto"/>
        <w:jc w:val="both"/>
        <w:rPr>
          <w:rFonts w:cstheme="minorHAnsi"/>
          <w:b/>
          <w:color w:val="000000" w:themeColor="text1"/>
        </w:rPr>
      </w:pPr>
    </w:p>
    <w:p w:rsidR="00D8670A" w:rsidRPr="00D062E2" w:rsidRDefault="00D8670A" w:rsidP="00A1130A">
      <w:pPr>
        <w:widowControl w:val="0"/>
        <w:autoSpaceDE w:val="0"/>
        <w:autoSpaceDN w:val="0"/>
        <w:spacing w:after="0" w:line="240" w:lineRule="auto"/>
        <w:jc w:val="both"/>
        <w:rPr>
          <w:rFonts w:cstheme="minorHAnsi"/>
          <w:color w:val="000000" w:themeColor="text1"/>
        </w:rPr>
      </w:pPr>
      <w:r w:rsidRPr="00D062E2">
        <w:rPr>
          <w:rFonts w:cstheme="minorHAnsi"/>
          <w:color w:val="000000" w:themeColor="text1"/>
        </w:rPr>
        <w:t xml:space="preserve">Yes, and such store is subject to the occupancy limitations in the Order. </w:t>
      </w:r>
    </w:p>
    <w:p w:rsidR="00D8670A" w:rsidRPr="00D062E2" w:rsidRDefault="00D8670A" w:rsidP="00A1130A">
      <w:pPr>
        <w:widowControl w:val="0"/>
        <w:autoSpaceDE w:val="0"/>
        <w:autoSpaceDN w:val="0"/>
        <w:spacing w:after="0" w:line="240" w:lineRule="auto"/>
        <w:jc w:val="both"/>
        <w:rPr>
          <w:rFonts w:cstheme="minorHAnsi"/>
          <w:color w:val="000000" w:themeColor="text1"/>
        </w:rPr>
      </w:pPr>
    </w:p>
    <w:p w:rsidR="00D8670A" w:rsidRPr="00D062E2" w:rsidRDefault="00D8670A" w:rsidP="00A1130A">
      <w:pPr>
        <w:widowControl w:val="0"/>
        <w:autoSpaceDE w:val="0"/>
        <w:autoSpaceDN w:val="0"/>
        <w:spacing w:after="0" w:line="240" w:lineRule="auto"/>
        <w:jc w:val="both"/>
        <w:rPr>
          <w:rFonts w:eastAsia="Times New Roman"/>
          <w:color w:val="000000" w:themeColor="text1"/>
        </w:rPr>
      </w:pPr>
      <w:r w:rsidRPr="00D062E2">
        <w:rPr>
          <w:rFonts w:cstheme="minorHAnsi"/>
          <w:color w:val="000000" w:themeColor="text1"/>
        </w:rPr>
        <w:t xml:space="preserve">Grocery stores </w:t>
      </w:r>
      <w:r w:rsidR="008A62DE" w:rsidRPr="00D062E2">
        <w:rPr>
          <w:rFonts w:cstheme="minorHAnsi"/>
          <w:color w:val="000000" w:themeColor="text1"/>
        </w:rPr>
        <w:t>are</w:t>
      </w:r>
      <w:r w:rsidRPr="00D062E2">
        <w:rPr>
          <w:rFonts w:cstheme="minorHAnsi"/>
          <w:color w:val="000000" w:themeColor="text1"/>
        </w:rPr>
        <w:t xml:space="preserve"> strongly encouraged to </w:t>
      </w:r>
      <w:r w:rsidRPr="00D062E2">
        <w:rPr>
          <w:rFonts w:eastAsia="Times New Roman"/>
          <w:color w:val="000000" w:themeColor="text1"/>
        </w:rPr>
        <w:t>set aside hours, outside of regular store hours, to allow third-party grocery delivery services to provide grocery shopping services for their customers. This will allow individual shoppers to shop during regular store hours, and reduce congestion during such times. This will further allow such services to function in an environment where their services may be in excessive demand.</w:t>
      </w:r>
    </w:p>
    <w:p w:rsidR="008A62DE" w:rsidRPr="00D062E2" w:rsidRDefault="008A62DE" w:rsidP="00A1130A">
      <w:pPr>
        <w:widowControl w:val="0"/>
        <w:autoSpaceDE w:val="0"/>
        <w:autoSpaceDN w:val="0"/>
        <w:spacing w:after="0" w:line="240" w:lineRule="auto"/>
        <w:jc w:val="both"/>
        <w:rPr>
          <w:rFonts w:eastAsia="Times New Roman"/>
          <w:color w:val="000000" w:themeColor="text1"/>
        </w:rPr>
      </w:pPr>
    </w:p>
    <w:p w:rsidR="00D8670A" w:rsidRDefault="00D062E2" w:rsidP="00D062E2">
      <w:pPr>
        <w:jc w:val="both"/>
        <w:rPr>
          <w:color w:val="000000" w:themeColor="text1"/>
        </w:rPr>
      </w:pPr>
      <w:r w:rsidRPr="00D062E2">
        <w:rPr>
          <w:color w:val="000000" w:themeColor="text1"/>
        </w:rPr>
        <w:t xml:space="preserve">Shoppers </w:t>
      </w:r>
      <w:r w:rsidR="005D11B8">
        <w:rPr>
          <w:color w:val="000000" w:themeColor="text1"/>
        </w:rPr>
        <w:t xml:space="preserve">at all retail stores </w:t>
      </w:r>
      <w:r w:rsidRPr="00D062E2">
        <w:rPr>
          <w:color w:val="000000" w:themeColor="text1"/>
        </w:rPr>
        <w:t>are also</w:t>
      </w:r>
      <w:r w:rsidR="004A2499">
        <w:rPr>
          <w:color w:val="000000" w:themeColor="text1"/>
        </w:rPr>
        <w:t xml:space="preserve"> </w:t>
      </w:r>
      <w:r w:rsidRPr="00D062E2">
        <w:rPr>
          <w:color w:val="000000" w:themeColor="text1"/>
        </w:rPr>
        <w:t>encouraged, when possible, to limit the number of people shopping in stores to 1 person per household at any one time. This will better enable all families to access necessary goods in grocery stores, and further reduce the number of individuals necessary to access such goods. </w:t>
      </w:r>
    </w:p>
    <w:p w:rsidR="00D062E2" w:rsidRPr="00D062E2" w:rsidRDefault="00D062E2" w:rsidP="00D062E2">
      <w:pPr>
        <w:rPr>
          <w:b/>
          <w:color w:val="000000" w:themeColor="text1"/>
        </w:rPr>
      </w:pPr>
      <w:r w:rsidRPr="00D062E2">
        <w:rPr>
          <w:b/>
          <w:color w:val="000000" w:themeColor="text1"/>
        </w:rPr>
        <w:t>My local jurisdiction does not have a building or fire code. Do the limitations on square footage apply to my retail business? </w:t>
      </w:r>
    </w:p>
    <w:p w:rsidR="00D062E2" w:rsidRPr="00D062E2" w:rsidRDefault="00D062E2" w:rsidP="00D062E2">
      <w:pPr>
        <w:jc w:val="both"/>
        <w:rPr>
          <w:color w:val="000000" w:themeColor="text1"/>
        </w:rPr>
      </w:pPr>
      <w:r w:rsidRPr="00D062E2">
        <w:rPr>
          <w:color w:val="000000" w:themeColor="text1"/>
        </w:rPr>
        <w:t>Yes. If your business is not subject to fire or building code occupancy limitations set by your local jurisdiction, you should calculate your occupancy limits based on the following formula:</w:t>
      </w:r>
    </w:p>
    <w:p w:rsidR="00D062E2" w:rsidRPr="00D062E2" w:rsidRDefault="00D062E2" w:rsidP="00D062E2">
      <w:pPr>
        <w:rPr>
          <w:color w:val="000000" w:themeColor="text1"/>
        </w:rPr>
      </w:pPr>
      <w:r w:rsidRPr="00D062E2">
        <w:rPr>
          <w:color w:val="000000" w:themeColor="text1"/>
        </w:rPr>
        <w:t>For a business with a retail location less than 10,000 square feet:</w:t>
      </w:r>
    </w:p>
    <w:p w:rsidR="00D062E2" w:rsidRPr="00D062E2" w:rsidRDefault="00D062E2" w:rsidP="00D062E2">
      <w:pPr>
        <w:ind w:left="720"/>
        <w:rPr>
          <w:color w:val="000000" w:themeColor="text1"/>
        </w:rPr>
      </w:pPr>
      <w:r w:rsidRPr="00D062E2">
        <w:rPr>
          <w:color w:val="000000" w:themeColor="text1"/>
        </w:rPr>
        <w:t>A. Building Square Feet divided by 30 = Quotient </w:t>
      </w:r>
    </w:p>
    <w:p w:rsidR="00D062E2" w:rsidRPr="00D062E2" w:rsidRDefault="00D062E2" w:rsidP="00D062E2">
      <w:pPr>
        <w:ind w:left="720"/>
        <w:rPr>
          <w:color w:val="000000" w:themeColor="text1"/>
        </w:rPr>
      </w:pPr>
      <w:r w:rsidRPr="00D062E2">
        <w:rPr>
          <w:color w:val="000000" w:themeColor="text1"/>
        </w:rPr>
        <w:t xml:space="preserve">B. Quotient </w:t>
      </w:r>
      <w:r>
        <w:rPr>
          <w:color w:val="000000" w:themeColor="text1"/>
        </w:rPr>
        <w:t>x</w:t>
      </w:r>
      <w:r w:rsidRPr="00D062E2">
        <w:rPr>
          <w:color w:val="000000" w:themeColor="text1"/>
        </w:rPr>
        <w:t xml:space="preserve"> .25 = Occupancy Limit</w:t>
      </w:r>
    </w:p>
    <w:p w:rsidR="00D062E2" w:rsidRPr="00D062E2" w:rsidRDefault="00D062E2" w:rsidP="00D062E2">
      <w:pPr>
        <w:rPr>
          <w:color w:val="000000" w:themeColor="text1"/>
        </w:rPr>
      </w:pPr>
      <w:r w:rsidRPr="00D062E2">
        <w:rPr>
          <w:color w:val="000000" w:themeColor="text1"/>
        </w:rPr>
        <w:t>For a business with the retail location of 10,000 square feet or more:</w:t>
      </w:r>
    </w:p>
    <w:p w:rsidR="00D062E2" w:rsidRPr="00D062E2" w:rsidRDefault="00D062E2" w:rsidP="00D062E2">
      <w:pPr>
        <w:ind w:left="720"/>
        <w:rPr>
          <w:color w:val="000000" w:themeColor="text1"/>
        </w:rPr>
      </w:pPr>
      <w:r w:rsidRPr="00D062E2">
        <w:rPr>
          <w:color w:val="000000" w:themeColor="text1"/>
        </w:rPr>
        <w:t>A. Building Square Feet divided by 30 = Quotient</w:t>
      </w:r>
    </w:p>
    <w:p w:rsidR="00D062E2" w:rsidRPr="00D062E2" w:rsidRDefault="00D062E2" w:rsidP="00D062E2">
      <w:pPr>
        <w:ind w:left="720"/>
        <w:rPr>
          <w:color w:val="000000" w:themeColor="text1"/>
        </w:rPr>
      </w:pPr>
      <w:r w:rsidRPr="00D062E2">
        <w:rPr>
          <w:color w:val="000000" w:themeColor="text1"/>
        </w:rPr>
        <w:t xml:space="preserve">B. Quotient </w:t>
      </w:r>
      <w:r>
        <w:rPr>
          <w:color w:val="000000" w:themeColor="text1"/>
        </w:rPr>
        <w:t>x</w:t>
      </w:r>
      <w:r w:rsidRPr="00D062E2">
        <w:rPr>
          <w:color w:val="000000" w:themeColor="text1"/>
        </w:rPr>
        <w:t xml:space="preserve"> .10 = Occupancy Limit</w:t>
      </w:r>
    </w:p>
    <w:p w:rsidR="00D062E2" w:rsidRPr="00D062E2" w:rsidRDefault="00D062E2" w:rsidP="00D062E2">
      <w:pPr>
        <w:rPr>
          <w:color w:val="000000" w:themeColor="text1"/>
        </w:rPr>
      </w:pPr>
      <w:r w:rsidRPr="00D062E2">
        <w:rPr>
          <w:color w:val="000000" w:themeColor="text1"/>
        </w:rPr>
        <w:t>Examples: </w:t>
      </w:r>
    </w:p>
    <w:p w:rsidR="00D062E2" w:rsidRPr="00D062E2" w:rsidRDefault="00D062E2" w:rsidP="00D062E2">
      <w:pPr>
        <w:jc w:val="both"/>
        <w:rPr>
          <w:color w:val="000000" w:themeColor="text1"/>
        </w:rPr>
      </w:pPr>
      <w:r w:rsidRPr="00D062E2">
        <w:rPr>
          <w:color w:val="000000" w:themeColor="text1"/>
        </w:rPr>
        <w:t>A 40,000 square foot grocery store would be able to have 133 customers in the store at any one time. </w:t>
      </w:r>
    </w:p>
    <w:p w:rsidR="00D062E2" w:rsidRPr="00D062E2" w:rsidRDefault="00D062E2" w:rsidP="00D062E2">
      <w:pPr>
        <w:jc w:val="both"/>
        <w:rPr>
          <w:color w:val="000000" w:themeColor="text1"/>
        </w:rPr>
      </w:pPr>
      <w:r w:rsidRPr="00D062E2">
        <w:rPr>
          <w:color w:val="000000" w:themeColor="text1"/>
        </w:rPr>
        <w:t>A</w:t>
      </w:r>
      <w:r w:rsidR="00937B5F">
        <w:rPr>
          <w:color w:val="000000" w:themeColor="text1"/>
        </w:rPr>
        <w:t>n</w:t>
      </w:r>
      <w:r w:rsidRPr="00D062E2">
        <w:rPr>
          <w:color w:val="000000" w:themeColor="text1"/>
        </w:rPr>
        <w:t xml:space="preserve"> 8,000 square foot retail store would be able to have 66 customers in the store at any one time.</w:t>
      </w:r>
    </w:p>
    <w:p w:rsidR="00D062E2" w:rsidRPr="004A2499" w:rsidRDefault="00D062E2" w:rsidP="00D062E2">
      <w:pPr>
        <w:jc w:val="both"/>
        <w:rPr>
          <w:b/>
          <w:color w:val="000000" w:themeColor="text1"/>
        </w:rPr>
      </w:pPr>
      <w:r w:rsidRPr="004A2499">
        <w:rPr>
          <w:b/>
          <w:color w:val="000000" w:themeColor="text1"/>
        </w:rPr>
        <w:t>My local fire or building code occupancy limitation calculation is lower than that allowed for businesses without any fire or building code limits, or is lower than a neighboring jurisdictions fire or building code limitations. Can I apply the same formula for calculating occupancy for my business as those without a code?</w:t>
      </w:r>
    </w:p>
    <w:p w:rsidR="00D062E2" w:rsidRPr="00D062E2" w:rsidRDefault="00D062E2" w:rsidP="00D062E2">
      <w:pPr>
        <w:jc w:val="both"/>
        <w:rPr>
          <w:color w:val="000000" w:themeColor="text1"/>
        </w:rPr>
      </w:pPr>
      <w:r w:rsidRPr="00D062E2">
        <w:rPr>
          <w:color w:val="000000" w:themeColor="text1"/>
        </w:rPr>
        <w:t>Yes. You may use either the calculation set forth above for businesses without a fire or building code occupancy limitation, or the calculation applied to your business based upon your specific local jurisdiction fire and building code occupancy limitation, whichever is greater. </w:t>
      </w:r>
    </w:p>
    <w:p w:rsidR="00D062E2" w:rsidRPr="00D062E2" w:rsidRDefault="00D062E2" w:rsidP="00D062E2">
      <w:pPr>
        <w:rPr>
          <w:color w:val="000000" w:themeColor="text1"/>
        </w:rPr>
      </w:pPr>
      <w:r w:rsidRPr="00D062E2">
        <w:rPr>
          <w:color w:val="000000" w:themeColor="text1"/>
        </w:rPr>
        <w:t>Example: </w:t>
      </w:r>
    </w:p>
    <w:p w:rsidR="00D062E2" w:rsidRPr="00D062E2" w:rsidRDefault="00D062E2" w:rsidP="00D062E2">
      <w:pPr>
        <w:jc w:val="both"/>
        <w:rPr>
          <w:color w:val="000000" w:themeColor="text1"/>
        </w:rPr>
      </w:pPr>
      <w:r w:rsidRPr="00D062E2">
        <w:rPr>
          <w:color w:val="000000" w:themeColor="text1"/>
        </w:rPr>
        <w:t>My 30,000 square foot retail business has a local jurisdiction fire or building occupancy limitation of 700 people. Using the formula allowing only 10% of the local jurisdiction, I would be able to have 70</w:t>
      </w:r>
      <w:r w:rsidR="004A2499" w:rsidRPr="00D062E2">
        <w:rPr>
          <w:color w:val="000000" w:themeColor="text1"/>
        </w:rPr>
        <w:t> customers</w:t>
      </w:r>
      <w:r w:rsidRPr="00D062E2">
        <w:rPr>
          <w:color w:val="000000" w:themeColor="text1"/>
        </w:rPr>
        <w:t xml:space="preserve"> in my store at any one time. For an identical business without a local fire or occupancy limitation, they would be able to have 100 customers in their store at any one time. Under this guidance, you may have up to 100 customers in your store at any one time. </w:t>
      </w:r>
    </w:p>
    <w:p w:rsidR="00D062E2" w:rsidRPr="00D062E2" w:rsidRDefault="00D062E2" w:rsidP="00D062E2">
      <w:pPr>
        <w:jc w:val="both"/>
        <w:rPr>
          <w:color w:val="000000" w:themeColor="text1"/>
        </w:rPr>
      </w:pPr>
      <w:r w:rsidRPr="00D062E2">
        <w:rPr>
          <w:color w:val="000000" w:themeColor="text1"/>
        </w:rPr>
        <w:t>My 6,000 square foot retail business has a local jurisdiction fire or building occupancy limitation of 150 people. Using the formula allowing only 25% of the local jurisdiction, I would be able to have 37</w:t>
      </w:r>
      <w:r w:rsidR="004A2499" w:rsidRPr="00D062E2">
        <w:rPr>
          <w:color w:val="000000" w:themeColor="text1"/>
        </w:rPr>
        <w:t> customers</w:t>
      </w:r>
      <w:r w:rsidRPr="00D062E2">
        <w:rPr>
          <w:color w:val="000000" w:themeColor="text1"/>
        </w:rPr>
        <w:t xml:space="preserve"> in my store at any one time. For an identical business without a local fire or occupancy limitation, they would be able to have 50 customers in their store at any one time. Under this guidance, you may have up to 50 customers in your store at any one time. </w:t>
      </w:r>
    </w:p>
    <w:p w:rsidR="00DF6F35" w:rsidRPr="00DF6F35" w:rsidRDefault="00DF6F35" w:rsidP="00DF6F35">
      <w:pPr>
        <w:rPr>
          <w:rFonts w:cstheme="minorHAnsi"/>
          <w:b/>
        </w:rPr>
      </w:pPr>
      <w:r w:rsidRPr="00DF6F35">
        <w:rPr>
          <w:rFonts w:cstheme="minorHAnsi"/>
          <w:b/>
        </w:rPr>
        <w:t xml:space="preserve">Can childcare places continue operations? </w:t>
      </w:r>
    </w:p>
    <w:p w:rsidR="00DF6F35" w:rsidRDefault="00DF6F35" w:rsidP="004A2499">
      <w:pPr>
        <w:widowControl w:val="0"/>
        <w:autoSpaceDE w:val="0"/>
        <w:autoSpaceDN w:val="0"/>
        <w:spacing w:after="0" w:line="240" w:lineRule="auto"/>
        <w:jc w:val="both"/>
        <w:rPr>
          <w:rFonts w:cstheme="minorHAnsi"/>
        </w:rPr>
      </w:pPr>
      <w:r>
        <w:rPr>
          <w:rFonts w:cstheme="minorHAnsi"/>
        </w:rPr>
        <w:t xml:space="preserve">Yes. </w:t>
      </w:r>
      <w:r w:rsidRPr="00DF6F35">
        <w:rPr>
          <w:rFonts w:cstheme="minorHAnsi"/>
        </w:rPr>
        <w:t xml:space="preserve">Daycares, child care providers, or schools providing child care for working families </w:t>
      </w:r>
      <w:r>
        <w:rPr>
          <w:rFonts w:cstheme="minorHAnsi"/>
        </w:rPr>
        <w:t xml:space="preserve">can continue operations but </w:t>
      </w:r>
      <w:r w:rsidRPr="00DF6F35">
        <w:rPr>
          <w:rFonts w:cstheme="minorHAnsi"/>
        </w:rPr>
        <w:t>should follow the U.S. Centers for Disease Control and Prevention guidance targeted for those operations.</w:t>
      </w:r>
    </w:p>
    <w:p w:rsidR="00A37773" w:rsidRDefault="00A37773" w:rsidP="004C3FFF">
      <w:pPr>
        <w:widowControl w:val="0"/>
        <w:autoSpaceDE w:val="0"/>
        <w:autoSpaceDN w:val="0"/>
        <w:spacing w:after="0" w:line="240" w:lineRule="auto"/>
        <w:rPr>
          <w:rFonts w:cstheme="minorHAnsi"/>
        </w:rPr>
      </w:pPr>
    </w:p>
    <w:p w:rsidR="00A37773" w:rsidRDefault="00A37773" w:rsidP="004C3FFF">
      <w:pPr>
        <w:widowControl w:val="0"/>
        <w:autoSpaceDE w:val="0"/>
        <w:autoSpaceDN w:val="0"/>
        <w:spacing w:after="0" w:line="240" w:lineRule="auto"/>
        <w:rPr>
          <w:rFonts w:cstheme="minorHAnsi"/>
          <w:b/>
        </w:rPr>
      </w:pPr>
      <w:r w:rsidRPr="00A37773">
        <w:rPr>
          <w:rFonts w:cstheme="minorHAnsi"/>
          <w:b/>
        </w:rPr>
        <w:t xml:space="preserve">Do restaurants have to close? </w:t>
      </w:r>
    </w:p>
    <w:p w:rsidR="0017588A" w:rsidRDefault="0017588A" w:rsidP="004C3FFF">
      <w:pPr>
        <w:widowControl w:val="0"/>
        <w:autoSpaceDE w:val="0"/>
        <w:autoSpaceDN w:val="0"/>
        <w:spacing w:after="0" w:line="240" w:lineRule="auto"/>
        <w:rPr>
          <w:rFonts w:cstheme="minorHAnsi"/>
          <w:b/>
        </w:rPr>
      </w:pPr>
    </w:p>
    <w:p w:rsidR="00A37773" w:rsidRPr="00A37773" w:rsidRDefault="00A37773" w:rsidP="00A37773">
      <w:pPr>
        <w:widowControl w:val="0"/>
        <w:autoSpaceDE w:val="0"/>
        <w:autoSpaceDN w:val="0"/>
        <w:spacing w:after="0" w:line="240" w:lineRule="auto"/>
        <w:jc w:val="both"/>
        <w:rPr>
          <w:rFonts w:cstheme="minorHAnsi"/>
        </w:rPr>
      </w:pPr>
      <w:r w:rsidRPr="00A37773">
        <w:rPr>
          <w:rFonts w:cstheme="minorHAnsi"/>
        </w:rPr>
        <w:t xml:space="preserve">No. </w:t>
      </w:r>
      <w:r w:rsidRPr="00A37773">
        <w:rPr>
          <w:bCs/>
        </w:rPr>
        <w:t xml:space="preserve">Restaurants </w:t>
      </w:r>
      <w:r>
        <w:rPr>
          <w:bCs/>
        </w:rPr>
        <w:t>can be open</w:t>
      </w:r>
      <w:r w:rsidRPr="00A37773">
        <w:rPr>
          <w:bCs/>
        </w:rPr>
        <w:t xml:space="preserve"> for delivery, drive-thru, or carryout services as long as</w:t>
      </w:r>
      <w:r>
        <w:rPr>
          <w:bCs/>
        </w:rPr>
        <w:t xml:space="preserve"> the other requirements of the O</w:t>
      </w:r>
      <w:r w:rsidRPr="00A37773">
        <w:rPr>
          <w:bCs/>
        </w:rPr>
        <w:t>rder are being followed</w:t>
      </w:r>
      <w:r>
        <w:rPr>
          <w:bCs/>
        </w:rPr>
        <w:t xml:space="preserve"> and individuals are encouraged to use those options. Restaurants may provide dine-in services, but can only have 10 people or less within the restaurant for dining service and </w:t>
      </w:r>
      <w:r w:rsidRPr="00A37773">
        <w:rPr>
          <w:bCs/>
        </w:rPr>
        <w:t xml:space="preserve">shall maintain at least </w:t>
      </w:r>
      <w:r>
        <w:rPr>
          <w:bCs/>
        </w:rPr>
        <w:t>6</w:t>
      </w:r>
      <w:r w:rsidRPr="00A37773">
        <w:rPr>
          <w:bCs/>
        </w:rPr>
        <w:t xml:space="preserve"> feet</w:t>
      </w:r>
      <w:r>
        <w:rPr>
          <w:bCs/>
        </w:rPr>
        <w:t xml:space="preserve"> </w:t>
      </w:r>
      <w:r w:rsidRPr="00A37773">
        <w:rPr>
          <w:bCs/>
        </w:rPr>
        <w:t>of distance between all individuals that are not family members.</w:t>
      </w:r>
      <w:r>
        <w:rPr>
          <w:bCs/>
        </w:rPr>
        <w:t xml:space="preserve"> </w:t>
      </w:r>
      <w:r w:rsidRPr="00A37773">
        <w:rPr>
          <w:bCs/>
        </w:rPr>
        <w:t xml:space="preserve">The </w:t>
      </w:r>
      <w:r>
        <w:rPr>
          <w:bCs/>
        </w:rPr>
        <w:t>10</w:t>
      </w:r>
      <w:r w:rsidRPr="00A37773">
        <w:rPr>
          <w:bCs/>
        </w:rPr>
        <w:t xml:space="preserve"> person limitation includes both employees and customers together. </w:t>
      </w:r>
    </w:p>
    <w:p w:rsidR="00D50B5B" w:rsidRPr="00E17A28" w:rsidRDefault="00D50B5B" w:rsidP="00DF6F35">
      <w:pPr>
        <w:widowControl w:val="0"/>
        <w:autoSpaceDE w:val="0"/>
        <w:autoSpaceDN w:val="0"/>
        <w:spacing w:after="0" w:line="240" w:lineRule="auto"/>
        <w:ind w:right="720"/>
        <w:rPr>
          <w:b/>
        </w:rPr>
      </w:pPr>
    </w:p>
    <w:p w:rsidR="0077435D" w:rsidRPr="0077435D" w:rsidRDefault="0077435D" w:rsidP="0077435D">
      <w:pPr>
        <w:rPr>
          <w:b/>
        </w:rPr>
      </w:pPr>
      <w:r w:rsidRPr="0077435D">
        <w:rPr>
          <w:b/>
        </w:rPr>
        <w:t>How will this order be enforced?</w:t>
      </w:r>
    </w:p>
    <w:p w:rsidR="002C328A" w:rsidRDefault="00854807" w:rsidP="0077435D">
      <w:r>
        <w:t>The S</w:t>
      </w:r>
      <w:r w:rsidR="0077435D">
        <w:t xml:space="preserve">tate is working with local health authorities to support the order.  Local </w:t>
      </w:r>
      <w:r w:rsidR="0084563B">
        <w:t xml:space="preserve">health authorities and </w:t>
      </w:r>
      <w:r w:rsidR="0077435D">
        <w:t xml:space="preserve">law enforcement maintain the same jurisdiction and authority they have always had. </w:t>
      </w:r>
    </w:p>
    <w:p w:rsidR="0077435D" w:rsidRPr="0077435D" w:rsidRDefault="0077435D">
      <w:pPr>
        <w:rPr>
          <w:b/>
        </w:rPr>
      </w:pPr>
      <w:r>
        <w:t xml:space="preserve"> </w:t>
      </w:r>
      <w:r w:rsidRPr="0077435D">
        <w:rPr>
          <w:b/>
        </w:rPr>
        <w:t xml:space="preserve">Can my local health authority impose </w:t>
      </w:r>
      <w:r w:rsidR="00C73A07">
        <w:rPr>
          <w:b/>
        </w:rPr>
        <w:t xml:space="preserve">more restrictive </w:t>
      </w:r>
      <w:r w:rsidRPr="0077435D">
        <w:rPr>
          <w:b/>
        </w:rPr>
        <w:t xml:space="preserve">requirements? </w:t>
      </w:r>
    </w:p>
    <w:p w:rsidR="0077435D" w:rsidRDefault="0077435D">
      <w:r>
        <w:t xml:space="preserve">Yes.  This Order establishes the minimum </w:t>
      </w:r>
      <w:r w:rsidR="00C73A07">
        <w:t>requirements t</w:t>
      </w:r>
      <w:r w:rsidR="004C3FFF">
        <w:t>hat must be complied with state</w:t>
      </w:r>
      <w:r>
        <w:t xml:space="preserve">wide.  Local health authorities may </w:t>
      </w:r>
      <w:r w:rsidR="00C73A07">
        <w:t xml:space="preserve">enforce more restrictive public health requirements for businesses or individuals. </w:t>
      </w:r>
      <w:r>
        <w:t xml:space="preserve"> </w:t>
      </w:r>
    </w:p>
    <w:p w:rsidR="00994E29" w:rsidRPr="00214D4D" w:rsidRDefault="00994E29">
      <w:pPr>
        <w:rPr>
          <w:b/>
        </w:rPr>
      </w:pPr>
      <w:r w:rsidRPr="00214D4D">
        <w:rPr>
          <w:b/>
        </w:rPr>
        <w:t>When is the Stay at Home order going to be lifted?</w:t>
      </w:r>
    </w:p>
    <w:p w:rsidR="0077435D" w:rsidRDefault="00994E29">
      <w:r>
        <w:t>The Stay at Home order is in place until late eve</w:t>
      </w:r>
      <w:r w:rsidR="00214D4D">
        <w:t xml:space="preserve">ning on Friday April 24, 2020.  The Order will be re-evaluated before it expires to make sure it does not need to be restricted or extended.  </w:t>
      </w:r>
    </w:p>
    <w:p w:rsidR="0077435D" w:rsidRDefault="0077435D"/>
    <w:p w:rsidR="0077435D" w:rsidRDefault="0077435D"/>
    <w:sectPr w:rsidR="0077435D" w:rsidSect="002246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56" w:rsidRDefault="00933456" w:rsidP="00933456">
      <w:pPr>
        <w:spacing w:after="0" w:line="240" w:lineRule="auto"/>
      </w:pPr>
      <w:r>
        <w:separator/>
      </w:r>
    </w:p>
  </w:endnote>
  <w:endnote w:type="continuationSeparator" w:id="0">
    <w:p w:rsidR="00933456" w:rsidRDefault="00933456" w:rsidP="0093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547961"/>
      <w:docPartObj>
        <w:docPartGallery w:val="Page Numbers (Bottom of Page)"/>
        <w:docPartUnique/>
      </w:docPartObj>
    </w:sdtPr>
    <w:sdtEndPr>
      <w:rPr>
        <w:noProof/>
      </w:rPr>
    </w:sdtEndPr>
    <w:sdtContent>
      <w:p w:rsidR="00933456" w:rsidRDefault="00933456">
        <w:pPr>
          <w:pStyle w:val="Footer"/>
          <w:jc w:val="center"/>
        </w:pPr>
        <w:r>
          <w:fldChar w:fldCharType="begin"/>
        </w:r>
        <w:r>
          <w:instrText xml:space="preserve"> PAGE   \* MERGEFORMAT </w:instrText>
        </w:r>
        <w:r>
          <w:fldChar w:fldCharType="separate"/>
        </w:r>
        <w:r w:rsidR="00601D4C">
          <w:rPr>
            <w:noProof/>
          </w:rPr>
          <w:t>1</w:t>
        </w:r>
        <w:r>
          <w:rPr>
            <w:noProof/>
          </w:rPr>
          <w:fldChar w:fldCharType="end"/>
        </w:r>
      </w:p>
    </w:sdtContent>
  </w:sdt>
  <w:p w:rsidR="00933456" w:rsidRDefault="00933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56" w:rsidRDefault="00933456" w:rsidP="00933456">
      <w:pPr>
        <w:spacing w:after="0" w:line="240" w:lineRule="auto"/>
      </w:pPr>
      <w:r>
        <w:separator/>
      </w:r>
    </w:p>
  </w:footnote>
  <w:footnote w:type="continuationSeparator" w:id="0">
    <w:p w:rsidR="00933456" w:rsidRDefault="00933456" w:rsidP="00933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08A"/>
    <w:multiLevelType w:val="hybridMultilevel"/>
    <w:tmpl w:val="BCB031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905635"/>
    <w:multiLevelType w:val="hybridMultilevel"/>
    <w:tmpl w:val="EEC82470"/>
    <w:lvl w:ilvl="0" w:tplc="4ED830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02163D"/>
    <w:multiLevelType w:val="hybridMultilevel"/>
    <w:tmpl w:val="CA28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84EC2"/>
    <w:multiLevelType w:val="hybridMultilevel"/>
    <w:tmpl w:val="ABB6E13A"/>
    <w:lvl w:ilvl="0" w:tplc="0F36FC78">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54F21B8"/>
    <w:multiLevelType w:val="hybridMultilevel"/>
    <w:tmpl w:val="ACA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33208"/>
    <w:multiLevelType w:val="hybridMultilevel"/>
    <w:tmpl w:val="112AC5C8"/>
    <w:lvl w:ilvl="0" w:tplc="0FF80036">
      <w:start w:val="1"/>
      <w:numFmt w:val="lowerRoman"/>
      <w:lvlText w:val="(%1)"/>
      <w:lvlJc w:val="left"/>
      <w:pPr>
        <w:ind w:left="2213" w:hanging="360"/>
      </w:pPr>
      <w:rPr>
        <w:rFonts w:hint="default"/>
      </w:r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6" w15:restartNumberingAfterBreak="0">
    <w:nsid w:val="77693FF0"/>
    <w:multiLevelType w:val="hybridMultilevel"/>
    <w:tmpl w:val="1E40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96DFD"/>
    <w:multiLevelType w:val="multilevel"/>
    <w:tmpl w:val="B2C49E40"/>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4C"/>
    <w:rsid w:val="0006520C"/>
    <w:rsid w:val="000D0EEA"/>
    <w:rsid w:val="000E4A4C"/>
    <w:rsid w:val="0017588A"/>
    <w:rsid w:val="0018178D"/>
    <w:rsid w:val="001A71D7"/>
    <w:rsid w:val="001B5366"/>
    <w:rsid w:val="00214D4D"/>
    <w:rsid w:val="002246C0"/>
    <w:rsid w:val="00231872"/>
    <w:rsid w:val="002637E1"/>
    <w:rsid w:val="002B3750"/>
    <w:rsid w:val="002C328A"/>
    <w:rsid w:val="002F101F"/>
    <w:rsid w:val="003D65AF"/>
    <w:rsid w:val="004A2499"/>
    <w:rsid w:val="004C3FFF"/>
    <w:rsid w:val="004D12BB"/>
    <w:rsid w:val="00500AFE"/>
    <w:rsid w:val="005D11B8"/>
    <w:rsid w:val="00601D4C"/>
    <w:rsid w:val="0061606F"/>
    <w:rsid w:val="006929B9"/>
    <w:rsid w:val="0077435D"/>
    <w:rsid w:val="0084563B"/>
    <w:rsid w:val="00854807"/>
    <w:rsid w:val="008A62DE"/>
    <w:rsid w:val="008B0F76"/>
    <w:rsid w:val="008D7CBC"/>
    <w:rsid w:val="008F74F0"/>
    <w:rsid w:val="008F7705"/>
    <w:rsid w:val="00902CBA"/>
    <w:rsid w:val="00927A45"/>
    <w:rsid w:val="00933456"/>
    <w:rsid w:val="00937B5F"/>
    <w:rsid w:val="00954EEB"/>
    <w:rsid w:val="00977E06"/>
    <w:rsid w:val="00994E29"/>
    <w:rsid w:val="009F15ED"/>
    <w:rsid w:val="00A1130A"/>
    <w:rsid w:val="00A35EED"/>
    <w:rsid w:val="00A37773"/>
    <w:rsid w:val="00A6639C"/>
    <w:rsid w:val="00AF0BD4"/>
    <w:rsid w:val="00BB1E38"/>
    <w:rsid w:val="00BD4621"/>
    <w:rsid w:val="00C31842"/>
    <w:rsid w:val="00C35C2F"/>
    <w:rsid w:val="00C73A07"/>
    <w:rsid w:val="00CA054C"/>
    <w:rsid w:val="00CA3834"/>
    <w:rsid w:val="00D062E2"/>
    <w:rsid w:val="00D32CB0"/>
    <w:rsid w:val="00D50B5B"/>
    <w:rsid w:val="00D8670A"/>
    <w:rsid w:val="00DE045C"/>
    <w:rsid w:val="00DF6F35"/>
    <w:rsid w:val="00E17A28"/>
    <w:rsid w:val="00E31990"/>
    <w:rsid w:val="00E82D6F"/>
    <w:rsid w:val="00F924CF"/>
    <w:rsid w:val="00FA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D8C18-4E11-4A43-A390-36C8016E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A28"/>
    <w:pPr>
      <w:ind w:left="720"/>
      <w:contextualSpacing/>
    </w:pPr>
  </w:style>
  <w:style w:type="paragraph" w:styleId="BalloonText">
    <w:name w:val="Balloon Text"/>
    <w:basedOn w:val="Normal"/>
    <w:link w:val="BalloonTextChar"/>
    <w:uiPriority w:val="99"/>
    <w:semiHidden/>
    <w:unhideWhenUsed/>
    <w:rsid w:val="00854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07"/>
    <w:rPr>
      <w:rFonts w:ascii="Segoe UI" w:hAnsi="Segoe UI" w:cs="Segoe UI"/>
      <w:sz w:val="18"/>
      <w:szCs w:val="18"/>
    </w:rPr>
  </w:style>
  <w:style w:type="paragraph" w:customStyle="1" w:styleId="Default">
    <w:name w:val="Default"/>
    <w:rsid w:val="008F74F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33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456"/>
  </w:style>
  <w:style w:type="paragraph" w:styleId="Footer">
    <w:name w:val="footer"/>
    <w:basedOn w:val="Normal"/>
    <w:link w:val="FooterChar"/>
    <w:uiPriority w:val="99"/>
    <w:unhideWhenUsed/>
    <w:rsid w:val="00933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1725">
      <w:bodyDiv w:val="1"/>
      <w:marLeft w:val="0"/>
      <w:marRight w:val="0"/>
      <w:marTop w:val="0"/>
      <w:marBottom w:val="0"/>
      <w:divBdr>
        <w:top w:val="none" w:sz="0" w:space="0" w:color="auto"/>
        <w:left w:val="none" w:sz="0" w:space="0" w:color="auto"/>
        <w:bottom w:val="none" w:sz="0" w:space="0" w:color="auto"/>
        <w:right w:val="none" w:sz="0" w:space="0" w:color="auto"/>
      </w:divBdr>
    </w:div>
    <w:div w:id="1001274472">
      <w:bodyDiv w:val="1"/>
      <w:marLeft w:val="0"/>
      <w:marRight w:val="0"/>
      <w:marTop w:val="0"/>
      <w:marBottom w:val="0"/>
      <w:divBdr>
        <w:top w:val="none" w:sz="0" w:space="0" w:color="auto"/>
        <w:left w:val="none" w:sz="0" w:space="0" w:color="auto"/>
        <w:bottom w:val="none" w:sz="0" w:space="0" w:color="auto"/>
        <w:right w:val="none" w:sz="0" w:space="0" w:color="auto"/>
      </w:divBdr>
    </w:div>
    <w:div w:id="160657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0292-D066-4BD1-A748-EF175ED3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7861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 Caroline</dc:creator>
  <cp:keywords/>
  <dc:description/>
  <cp:lastModifiedBy>Bayer, Tiffany</cp:lastModifiedBy>
  <cp:revision>2</cp:revision>
  <cp:lastPrinted>2020-04-04T18:51:00Z</cp:lastPrinted>
  <dcterms:created xsi:type="dcterms:W3CDTF">2020-04-04T22:04:00Z</dcterms:created>
  <dcterms:modified xsi:type="dcterms:W3CDTF">2020-04-04T22:04:00Z</dcterms:modified>
</cp:coreProperties>
</file>